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文鼎小标宋简" w:hAnsi="方正小标宋简体" w:eastAsia="文鼎小标宋简" w:cs="方正小标宋简体"/>
          <w:sz w:val="44"/>
          <w:szCs w:val="44"/>
        </w:rPr>
        <w:t xml:space="preserve"> </w:t>
      </w:r>
      <w:r>
        <w:rPr>
          <w:rFonts w:hint="eastAsia" w:ascii="华文中宋" w:hAnsi="华文中宋" w:eastAsia="华文中宋" w:cs="方正小标宋简体"/>
          <w:sz w:val="44"/>
          <w:szCs w:val="44"/>
        </w:rPr>
        <w:t>临床用血信息管理数据采集方案（第一版）</w:t>
      </w:r>
    </w:p>
    <w:p>
      <w:pPr>
        <w:spacing w:line="40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spacing w:line="560" w:lineRule="exact"/>
        <w:ind w:firstLine="640" w:firstLineChars="200"/>
        <w:rPr>
          <w:rFonts w:hint="eastAsia" w:ascii="黑体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一、采集项目</w:t>
      </w:r>
    </w:p>
    <w:p>
      <w:p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（一）所有住院患者信息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1姓名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2身份证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3手机号码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4科室（按三级学科分类）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 内科：心血管内科、血液内科、呼吸内科、消化内科、肿瘤内科、内分泌代谢科、肾脏内科、风湿免疫科、感染病科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 外科：普通外科、骨外科、泌尿外科、心胸外科、神经外科、整形外科、烧伤科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4.3 妇产科：妇内科、妇外科、产科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 儿科：儿内科、儿外科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4.5 急救及其他：重症医学科、急诊医学科、其它</w:t>
      </w:r>
    </w:p>
    <w:p>
      <w:p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（二）用血患者信息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1基本信息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 住院号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 入院时间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1.3 病人来源：本市、外埠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1.4 输血性质：急诊用血、非急诊用血（手术用血、非手术用血）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 输血前评估和输血后评价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总原则：输血前最近一次/输血后24小时内检测结果作为输血前评估和输血后评价的量化指标。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1.5.1红细胞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1.5.1.1输血前评估：血红蛋白（Hb）和/或红细胞压积（Hct）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1.5.1.2输血后评价：血红蛋白（Hb）和/或红细胞压积（Hct）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1.5.2血小板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1.5.2.1输血前评估：血小板计数和/或血栓弹力图（TEG）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1.5.2.2输血后评价：血小板计数和/或血栓弹力图（TEG），也可以通过血小板计数来计算CCI值和/或血小板回收率（PPR）。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1.5.3血浆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1.5.3.1输血前评估：凝血酶原时间（PT）/活化部分凝血活酶</w:t>
      </w:r>
      <w:r>
        <w:rPr>
          <w:rFonts w:hint="eastAsia"/>
          <w:color w:val="000000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（APTT）和/或国际标准化比值（INR）值和/或血栓弹力图（TEG）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1.5.3.2输血后评价： 凝血酶原时间（PT）/活化部分凝血活酶</w:t>
      </w:r>
      <w:r>
        <w:rPr>
          <w:rFonts w:hint="eastAsia"/>
          <w:color w:val="000000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（APTT）和/或国际标准化比值（INR）值和/或血栓弹力图（TEG）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1.5.4冷沉淀凝血因子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1.5.4.1输血前评估：凝血酶原时间（PT）/活化部分凝血活酶</w:t>
      </w:r>
      <w:r>
        <w:rPr>
          <w:rFonts w:hint="eastAsia"/>
          <w:color w:val="000000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（APTT）和/或纤维蛋白原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1.5.4.2输血后评价凝血酶原时间（PT）/活化部分凝血活酶</w:t>
      </w:r>
      <w:r>
        <w:rPr>
          <w:rFonts w:hint="eastAsia"/>
          <w:color w:val="000000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（APTT）和/或 纤维蛋白原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1.6 用血品种、用量及对应血袋的编码：红细胞（U）、血浆（ml）、血小板（U）、洗涤红细胞（U）、冷沉淀（U）、全血（ml）、其它成分（U）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1.7 输注时间：****年**月**日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 疾病诊断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总原则：按主诊断/第一诊断统计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ICD-10诊断编码：急性白血病、上消化道出血、肝癌、子宫多发肌瘤、冠心病、骨髓增生异常综合征、早期胃癌、贲门恶性肿瘤、食管恶性肿瘤、再生障碍性贫血、多发性骨髓瘤、全心衰竭、复合型外伤、全血细胞减少、肾恶性肿瘤、成人体外循环二尖瓣手术、成人子宫全切除手术、其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 输血不良反应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3.1输血传播性感染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3.1.1输血传播病毒感染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3.1.2输血传播细菌感染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3.1.3输血传播寄生虫感染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3.1.4 输血传播其他病原体感染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 输血非感染性反应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 过敏反应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3.2.2 溶血性输血反应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3.2.3 迟发性血清学输血反应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3.2.4 非溶血性发热反应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3.2.5 输血后紫癜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3.2.6 输血相关移植物抗宿主病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3.2.7 输血相关急性肺损伤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3.2.8 输血相关呼吸困难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3.2.9 输血相关循环超负荷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3.2.10 输血相关性低血压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3.2.11 铁超负荷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3.2.12 肺血管微栓塞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3.2.13 空气栓塞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3.2.14 大量输血相关并发症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 其他</w:t>
      </w:r>
    </w:p>
    <w:p>
      <w:p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（三）自体输血信息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包括手术名称、术中出血量、自体输血种类（储存式、回收式、稀释式）、回输总量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62"/>
        <w:gridCol w:w="2108"/>
        <w:gridCol w:w="4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自体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输血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手术名称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术中出血量（ml）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6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种类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储存式（ml）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回收式（ml）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稀释式（ml）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exac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回输总量（ml）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黑体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二、报送方式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住院患者信息、用血患者信息、自体输血信息原则上实现计算机自动抓取每日报送。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4"/>
        <w:rFonts w:hint="eastAsia" w:ascii="宋体"/>
        <w:sz w:val="28"/>
        <w:szCs w:val="28"/>
      </w:rPr>
      <w:t>－</w:t>
    </w:r>
    <w:r>
      <w:rPr>
        <w:rStyle w:val="4"/>
        <w:rFonts w:ascii="宋体"/>
        <w:sz w:val="28"/>
        <w:szCs w:val="28"/>
      </w:rPr>
      <w:t xml:space="preserve"> </w:t>
    </w:r>
    <w:r>
      <w:rPr>
        <w:rStyle w:val="4"/>
        <w:rFonts w:ascii="宋体"/>
        <w:sz w:val="28"/>
        <w:szCs w:val="28"/>
      </w:rPr>
      <w:fldChar w:fldCharType="begin"/>
    </w:r>
    <w:r>
      <w:rPr>
        <w:rStyle w:val="4"/>
        <w:rFonts w:ascii="宋体"/>
        <w:sz w:val="28"/>
        <w:szCs w:val="28"/>
      </w:rPr>
      <w:instrText xml:space="preserve">PAGE  </w:instrText>
    </w:r>
    <w:r>
      <w:rPr>
        <w:rStyle w:val="4"/>
        <w:rFonts w:ascii="宋体"/>
        <w:sz w:val="28"/>
        <w:szCs w:val="28"/>
      </w:rPr>
      <w:fldChar w:fldCharType="separate"/>
    </w:r>
    <w:r>
      <w:rPr>
        <w:rStyle w:val="4"/>
        <w:rFonts w:ascii="宋体"/>
        <w:sz w:val="28"/>
        <w:szCs w:val="28"/>
      </w:rPr>
      <w:t>3</w:t>
    </w:r>
    <w:r>
      <w:rPr>
        <w:rStyle w:val="4"/>
        <w:rFonts w:ascii="宋体"/>
        <w:sz w:val="28"/>
        <w:szCs w:val="28"/>
      </w:rPr>
      <w:fldChar w:fldCharType="end"/>
    </w:r>
    <w:r>
      <w:rPr>
        <w:rStyle w:val="4"/>
        <w:rFonts w:ascii="宋体"/>
        <w:sz w:val="28"/>
        <w:szCs w:val="28"/>
      </w:rPr>
      <w:t xml:space="preserve"> </w:t>
    </w:r>
    <w:r>
      <w:rPr>
        <w:rStyle w:val="4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4"/>
        <w:rFonts w:hint="eastAsia" w:ascii="宋体"/>
        <w:sz w:val="28"/>
        <w:szCs w:val="28"/>
      </w:rPr>
      <w:t>－</w:t>
    </w:r>
    <w:r>
      <w:rPr>
        <w:rStyle w:val="4"/>
        <w:rFonts w:ascii="宋体"/>
        <w:sz w:val="28"/>
        <w:szCs w:val="28"/>
      </w:rPr>
      <w:t xml:space="preserve"> </w:t>
    </w:r>
    <w:r>
      <w:rPr>
        <w:rStyle w:val="4"/>
        <w:rFonts w:ascii="宋体"/>
        <w:sz w:val="28"/>
        <w:szCs w:val="28"/>
      </w:rPr>
      <w:fldChar w:fldCharType="begin"/>
    </w:r>
    <w:r>
      <w:rPr>
        <w:rStyle w:val="4"/>
        <w:rFonts w:ascii="宋体"/>
        <w:sz w:val="28"/>
        <w:szCs w:val="28"/>
      </w:rPr>
      <w:instrText xml:space="preserve">PAGE  </w:instrText>
    </w:r>
    <w:r>
      <w:rPr>
        <w:rStyle w:val="4"/>
        <w:rFonts w:ascii="宋体"/>
        <w:sz w:val="28"/>
        <w:szCs w:val="28"/>
      </w:rPr>
      <w:fldChar w:fldCharType="separate"/>
    </w:r>
    <w:r>
      <w:rPr>
        <w:rStyle w:val="4"/>
        <w:rFonts w:ascii="宋体"/>
        <w:sz w:val="28"/>
        <w:szCs w:val="28"/>
      </w:rPr>
      <w:t>2</w:t>
    </w:r>
    <w:r>
      <w:rPr>
        <w:rStyle w:val="4"/>
        <w:rFonts w:ascii="宋体"/>
        <w:sz w:val="28"/>
        <w:szCs w:val="28"/>
      </w:rPr>
      <w:fldChar w:fldCharType="end"/>
    </w:r>
    <w:r>
      <w:rPr>
        <w:rStyle w:val="4"/>
        <w:rFonts w:ascii="宋体"/>
        <w:sz w:val="28"/>
        <w:szCs w:val="28"/>
      </w:rPr>
      <w:t xml:space="preserve"> </w:t>
    </w:r>
    <w:r>
      <w:rPr>
        <w:rStyle w:val="4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B6EB8"/>
    <w:rsid w:val="2B7F4244"/>
    <w:rsid w:val="694B6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2019-02-21T03:42:00Z</dcterms:created>
  <dc:creator>jxg</dc:creator>
  <cp:lastModifiedBy>jxg</cp:lastModifiedBy>
  <dcterms:modified xsi:type="dcterms:W3CDTF">2019-02-21T03:43:03Z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