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44"/>
          <w:szCs w:val="44"/>
        </w:rPr>
      </w:pPr>
      <w:r>
        <w:rPr>
          <w:rFonts w:hint="eastAsia" w:ascii="黑体" w:eastAsia="黑体"/>
          <w:sz w:val="32"/>
          <w:szCs w:val="32"/>
        </w:rPr>
        <w:t>附件3</w:t>
      </w:r>
    </w:p>
    <w:p>
      <w:pPr>
        <w:spacing w:before="312" w:beforeLines="100"/>
        <w:jc w:val="center"/>
        <w:rPr>
          <w:rFonts w:hint="eastAsia" w:ascii="文鼎小标宋简" w:hAnsi="仿宋_GB2312" w:eastAsia="文鼎小标宋简" w:cs="仿宋_GB2312"/>
          <w:sz w:val="44"/>
          <w:szCs w:val="44"/>
        </w:rPr>
      </w:pPr>
      <w:r>
        <w:rPr>
          <w:rFonts w:hint="eastAsia" w:ascii="文鼎小标宋简" w:hAnsi="仿宋_GB2312" w:eastAsia="文鼎小标宋简" w:cs="仿宋_GB2312"/>
          <w:sz w:val="44"/>
          <w:szCs w:val="44"/>
        </w:rPr>
        <w:t>2019年度浙江省中医药优秀青年人才基金项目</w:t>
      </w:r>
    </w:p>
    <w:p>
      <w:pPr>
        <w:jc w:val="center"/>
        <w:rPr>
          <w:rFonts w:hint="eastAsia" w:ascii="文鼎小标宋简" w:eastAsia="文鼎小标宋简"/>
          <w:sz w:val="36"/>
          <w:szCs w:val="36"/>
        </w:rPr>
      </w:pPr>
    </w:p>
    <w:tbl>
      <w:tblPr>
        <w:tblStyle w:val="3"/>
        <w:tblW w:w="13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19"/>
        <w:gridCol w:w="4235"/>
        <w:gridCol w:w="2268"/>
        <w:gridCol w:w="1276"/>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adjustRightInd w:val="0"/>
              <w:snapToGrid w:val="0"/>
              <w:spacing w:line="360" w:lineRule="exact"/>
              <w:jc w:val="center"/>
              <w:rPr>
                <w:rFonts w:hint="eastAsia" w:ascii="黑体" w:hAnsi="宋体" w:eastAsia="黑体" w:cs="Arial"/>
                <w:bCs/>
                <w:spacing w:val="-16"/>
                <w:kern w:val="0"/>
                <w:sz w:val="28"/>
                <w:szCs w:val="28"/>
              </w:rPr>
            </w:pPr>
            <w:r>
              <w:rPr>
                <w:rFonts w:hint="eastAsia" w:ascii="黑体" w:hAnsi="宋体" w:eastAsia="黑体" w:cs="Arial"/>
                <w:bCs/>
                <w:spacing w:val="-16"/>
                <w:kern w:val="0"/>
                <w:sz w:val="28"/>
                <w:szCs w:val="28"/>
              </w:rPr>
              <w:t>序号</w:t>
            </w:r>
          </w:p>
        </w:tc>
        <w:tc>
          <w:tcPr>
            <w:tcW w:w="1419" w:type="dxa"/>
            <w:noWrap w:val="0"/>
            <w:vAlign w:val="center"/>
          </w:tcPr>
          <w:p>
            <w:pPr>
              <w:widowControl/>
              <w:adjustRightInd w:val="0"/>
              <w:snapToGrid w:val="0"/>
              <w:spacing w:line="360" w:lineRule="exact"/>
              <w:jc w:val="center"/>
              <w:rPr>
                <w:rFonts w:hint="eastAsia" w:ascii="黑体" w:hAnsi="宋体" w:eastAsia="黑体" w:cs="Arial"/>
                <w:bCs/>
                <w:kern w:val="0"/>
                <w:sz w:val="28"/>
                <w:szCs w:val="28"/>
              </w:rPr>
            </w:pPr>
            <w:r>
              <w:rPr>
                <w:rFonts w:hint="eastAsia" w:ascii="黑体" w:hAnsi="宋体" w:eastAsia="黑体" w:cs="Arial"/>
                <w:bCs/>
                <w:kern w:val="0"/>
                <w:sz w:val="28"/>
                <w:szCs w:val="28"/>
              </w:rPr>
              <w:t>项目编号</w:t>
            </w:r>
          </w:p>
        </w:tc>
        <w:tc>
          <w:tcPr>
            <w:tcW w:w="4235" w:type="dxa"/>
            <w:noWrap w:val="0"/>
            <w:vAlign w:val="center"/>
          </w:tcPr>
          <w:p>
            <w:pPr>
              <w:widowControl/>
              <w:adjustRightInd w:val="0"/>
              <w:snapToGrid w:val="0"/>
              <w:spacing w:line="360" w:lineRule="exact"/>
              <w:jc w:val="center"/>
              <w:rPr>
                <w:rFonts w:hint="eastAsia" w:ascii="黑体" w:hAnsi="宋体" w:eastAsia="黑体" w:cs="Arial"/>
                <w:bCs/>
                <w:kern w:val="0"/>
                <w:sz w:val="28"/>
                <w:szCs w:val="28"/>
              </w:rPr>
            </w:pPr>
            <w:r>
              <w:rPr>
                <w:rFonts w:hint="eastAsia" w:ascii="黑体" w:hAnsi="宋体" w:eastAsia="黑体" w:cs="Arial"/>
                <w:bCs/>
                <w:kern w:val="0"/>
                <w:sz w:val="28"/>
                <w:szCs w:val="28"/>
              </w:rPr>
              <w:t>项目名称</w:t>
            </w:r>
          </w:p>
        </w:tc>
        <w:tc>
          <w:tcPr>
            <w:tcW w:w="2268" w:type="dxa"/>
            <w:noWrap w:val="0"/>
            <w:vAlign w:val="center"/>
          </w:tcPr>
          <w:p>
            <w:pPr>
              <w:widowControl/>
              <w:adjustRightInd w:val="0"/>
              <w:snapToGrid w:val="0"/>
              <w:spacing w:line="360" w:lineRule="exact"/>
              <w:jc w:val="center"/>
              <w:rPr>
                <w:rFonts w:hint="eastAsia" w:ascii="黑体" w:hAnsi="宋体" w:eastAsia="黑体" w:cs="Arial"/>
                <w:bCs/>
                <w:kern w:val="0"/>
                <w:sz w:val="28"/>
                <w:szCs w:val="28"/>
              </w:rPr>
            </w:pPr>
            <w:r>
              <w:rPr>
                <w:rFonts w:hint="eastAsia" w:ascii="黑体" w:hAnsi="宋体" w:eastAsia="黑体" w:cs="Arial"/>
                <w:bCs/>
                <w:kern w:val="0"/>
                <w:sz w:val="28"/>
                <w:szCs w:val="28"/>
              </w:rPr>
              <w:t>承担单位</w:t>
            </w:r>
          </w:p>
        </w:tc>
        <w:tc>
          <w:tcPr>
            <w:tcW w:w="1276" w:type="dxa"/>
            <w:noWrap w:val="0"/>
            <w:vAlign w:val="center"/>
          </w:tcPr>
          <w:p>
            <w:pPr>
              <w:widowControl/>
              <w:adjustRightInd w:val="0"/>
              <w:snapToGrid w:val="0"/>
              <w:spacing w:line="360" w:lineRule="exact"/>
              <w:jc w:val="center"/>
              <w:rPr>
                <w:rFonts w:hint="eastAsia" w:ascii="黑体" w:hAnsi="宋体" w:eastAsia="黑体" w:cs="Arial"/>
                <w:bCs/>
                <w:kern w:val="0"/>
                <w:sz w:val="28"/>
                <w:szCs w:val="28"/>
              </w:rPr>
            </w:pPr>
            <w:r>
              <w:rPr>
                <w:rFonts w:hint="eastAsia" w:ascii="黑体" w:hAnsi="宋体" w:eastAsia="黑体" w:cs="Arial"/>
                <w:bCs/>
                <w:kern w:val="0"/>
                <w:sz w:val="28"/>
                <w:szCs w:val="28"/>
              </w:rPr>
              <w:t>项目</w:t>
            </w:r>
          </w:p>
          <w:p>
            <w:pPr>
              <w:widowControl/>
              <w:adjustRightInd w:val="0"/>
              <w:snapToGrid w:val="0"/>
              <w:spacing w:line="360" w:lineRule="exact"/>
              <w:jc w:val="center"/>
              <w:rPr>
                <w:rFonts w:hint="eastAsia" w:ascii="黑体" w:hAnsi="宋体" w:eastAsia="黑体" w:cs="Arial"/>
                <w:bCs/>
                <w:kern w:val="0"/>
                <w:sz w:val="28"/>
                <w:szCs w:val="28"/>
              </w:rPr>
            </w:pPr>
            <w:r>
              <w:rPr>
                <w:rFonts w:hint="eastAsia" w:ascii="黑体" w:hAnsi="宋体" w:eastAsia="黑体" w:cs="Arial"/>
                <w:bCs/>
                <w:kern w:val="0"/>
                <w:sz w:val="28"/>
                <w:szCs w:val="28"/>
              </w:rPr>
              <w:t>负责人</w:t>
            </w:r>
          </w:p>
        </w:tc>
        <w:tc>
          <w:tcPr>
            <w:tcW w:w="3226" w:type="dxa"/>
            <w:noWrap w:val="0"/>
            <w:vAlign w:val="center"/>
          </w:tcPr>
          <w:p>
            <w:pPr>
              <w:widowControl/>
              <w:adjustRightInd w:val="0"/>
              <w:snapToGrid w:val="0"/>
              <w:jc w:val="center"/>
              <w:rPr>
                <w:rFonts w:hint="eastAsia" w:ascii="黑体" w:hAnsi="宋体" w:eastAsia="黑体" w:cs="Arial"/>
                <w:bCs/>
                <w:kern w:val="0"/>
                <w:sz w:val="28"/>
                <w:szCs w:val="28"/>
              </w:rPr>
            </w:pPr>
            <w:r>
              <w:rPr>
                <w:rFonts w:hint="eastAsia" w:ascii="黑体" w:hAnsi="宋体" w:eastAsia="黑体" w:cs="Arial"/>
                <w:bCs/>
                <w:kern w:val="0"/>
                <w:sz w:val="28"/>
                <w:szCs w:val="28"/>
              </w:rPr>
              <w:t>研究起止时间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1</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2019ZQ001</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基于数据挖掘技术分析金肖青教针灸治疗围绝经期综合征学术思想及其用穴规律研究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盛吉莅</w:t>
            </w:r>
          </w:p>
        </w:tc>
        <w:tc>
          <w:tcPr>
            <w:tcW w:w="3226" w:type="dxa"/>
            <w:noWrap w:val="0"/>
            <w:vAlign w:val="center"/>
          </w:tcPr>
          <w:p>
            <w:pPr>
              <w:widowControl/>
              <w:textAlignment w:val="center"/>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2</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2019ZQ002</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浙产温山药与怀山药中多糖含量及其抗氧化活性的比较研究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杨真晖</w:t>
            </w:r>
          </w:p>
        </w:tc>
        <w:tc>
          <w:tcPr>
            <w:tcW w:w="3226" w:type="dxa"/>
            <w:noWrap w:val="0"/>
            <w:vAlign w:val="center"/>
          </w:tcPr>
          <w:p>
            <w:pPr>
              <w:widowControl/>
              <w:textAlignment w:val="center"/>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3</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2019ZQ003</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加味甘麦大枣汤的早期应用对改善妇科恶性肿瘤患者术后绝经症状的临床研究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浙江省肿瘤医院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邵株燕</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color w:val="000000"/>
                <w:kern w:val="0"/>
                <w:sz w:val="24"/>
                <w:szCs w:val="22"/>
                <w:lang w:bidi="ar"/>
              </w:rPr>
            </w:pPr>
            <w:r>
              <w:rPr>
                <w:rFonts w:hint="eastAsia" w:ascii="仿宋_GB2312" w:eastAsia="仿宋_GB2312"/>
                <w:color w:val="000000"/>
                <w:kern w:val="0"/>
                <w:sz w:val="24"/>
                <w:szCs w:val="22"/>
                <w:lang w:bidi="ar"/>
              </w:rPr>
              <w:t>4</w:t>
            </w:r>
          </w:p>
        </w:tc>
        <w:tc>
          <w:tcPr>
            <w:tcW w:w="1419" w:type="dxa"/>
            <w:noWrap w:val="0"/>
            <w:vAlign w:val="center"/>
          </w:tcPr>
          <w:p>
            <w:pPr>
              <w:widowControl/>
              <w:jc w:val="left"/>
              <w:textAlignment w:val="center"/>
              <w:rPr>
                <w:rFonts w:hint="eastAsia" w:ascii="仿宋_GB2312" w:eastAsia="仿宋_GB2312"/>
                <w:color w:val="000000"/>
                <w:kern w:val="0"/>
                <w:sz w:val="24"/>
                <w:szCs w:val="22"/>
                <w:lang w:bidi="ar"/>
              </w:rPr>
            </w:pPr>
            <w:r>
              <w:rPr>
                <w:rFonts w:hint="eastAsia" w:ascii="仿宋_GB2312" w:eastAsia="仿宋_GB2312"/>
                <w:color w:val="000000"/>
                <w:kern w:val="0"/>
                <w:sz w:val="24"/>
                <w:szCs w:val="22"/>
                <w:lang w:bidi="ar"/>
              </w:rPr>
              <w:t>2019ZQ004</w:t>
            </w:r>
          </w:p>
        </w:tc>
        <w:tc>
          <w:tcPr>
            <w:tcW w:w="4235" w:type="dxa"/>
            <w:noWrap w:val="0"/>
            <w:vAlign w:val="center"/>
          </w:tcPr>
          <w:p>
            <w:pPr>
              <w:widowControl/>
              <w:textAlignment w:val="bottom"/>
              <w:rPr>
                <w:rFonts w:hint="eastAsia" w:ascii="仿宋_GB2312" w:eastAsia="仿宋_GB2312"/>
                <w:color w:val="000000"/>
                <w:kern w:val="0"/>
                <w:sz w:val="24"/>
                <w:lang w:bidi="ar"/>
              </w:rPr>
            </w:pPr>
            <w:r>
              <w:rPr>
                <w:rFonts w:hint="eastAsia" w:ascii="仿宋_GB2312" w:eastAsia="仿宋_GB2312"/>
                <w:color w:val="000000"/>
                <w:kern w:val="0"/>
                <w:sz w:val="24"/>
                <w:lang w:bidi="ar"/>
              </w:rPr>
              <w:t>穿心莲及其主要成分调控Nrf2和p62信号通路改善阿尔茨海默病认知障碍的作用研究</w:t>
            </w:r>
          </w:p>
        </w:tc>
        <w:tc>
          <w:tcPr>
            <w:tcW w:w="2268" w:type="dxa"/>
            <w:noWrap w:val="0"/>
            <w:vAlign w:val="center"/>
          </w:tcPr>
          <w:p>
            <w:pPr>
              <w:widowControl/>
              <w:textAlignment w:val="bottom"/>
              <w:rPr>
                <w:rFonts w:hint="eastAsia" w:ascii="仿宋_GB2312" w:eastAsia="仿宋_GB2312"/>
                <w:color w:val="000000"/>
                <w:kern w:val="0"/>
                <w:sz w:val="24"/>
                <w:lang w:bidi="ar"/>
              </w:rPr>
            </w:pPr>
            <w:r>
              <w:rPr>
                <w:rFonts w:hint="eastAsia" w:ascii="仿宋_GB2312" w:eastAsia="仿宋_GB2312"/>
                <w:color w:val="000000"/>
                <w:kern w:val="0"/>
                <w:sz w:val="24"/>
                <w:lang w:bidi="ar"/>
              </w:rPr>
              <w:t>浙江省医学科学院</w:t>
            </w:r>
          </w:p>
        </w:tc>
        <w:tc>
          <w:tcPr>
            <w:tcW w:w="1276" w:type="dxa"/>
            <w:noWrap w:val="0"/>
            <w:vAlign w:val="center"/>
          </w:tcPr>
          <w:p>
            <w:pPr>
              <w:widowControl/>
              <w:jc w:val="center"/>
              <w:textAlignment w:val="center"/>
              <w:rPr>
                <w:rFonts w:hint="eastAsia" w:ascii="仿宋_GB2312" w:eastAsia="仿宋_GB2312"/>
                <w:color w:val="000000"/>
                <w:kern w:val="0"/>
                <w:sz w:val="24"/>
                <w:lang w:bidi="ar"/>
              </w:rPr>
            </w:pPr>
            <w:r>
              <w:rPr>
                <w:rFonts w:hint="eastAsia" w:ascii="仿宋_GB2312" w:eastAsia="仿宋_GB2312"/>
                <w:color w:val="000000"/>
                <w:kern w:val="0"/>
                <w:sz w:val="24"/>
                <w:lang w:bidi="ar"/>
              </w:rPr>
              <w:t>谷丽丽</w:t>
            </w:r>
          </w:p>
        </w:tc>
        <w:tc>
          <w:tcPr>
            <w:tcW w:w="3226" w:type="dxa"/>
            <w:noWrap w:val="0"/>
            <w:vAlign w:val="center"/>
          </w:tcPr>
          <w:p>
            <w:pPr>
              <w:widowControl/>
              <w:textAlignment w:val="bottom"/>
              <w:rPr>
                <w:rFonts w:hint="eastAsia" w:ascii="仿宋_GB2312" w:eastAsia="仿宋_GB2312"/>
                <w:color w:val="000000"/>
                <w:kern w:val="0"/>
                <w:sz w:val="24"/>
                <w:lang w:bidi="ar"/>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5</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2019ZQ005</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高频超声结合中医辨证在浮针治疗网球肘中的应用研究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浙江省立同德医院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田树元</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6</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2019ZQ006</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基于《金匮要略》治瘀法指导的中医药改善晚期肺癌患者高凝状态的真实世界研究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浙江省立同德医院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陈嘉斌</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7</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2019ZQ007</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加味大承气汤在妇科腹腔镜手术围术期的应用研究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浙江省立同德医院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石  吟</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8</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2019ZQ008</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桃红四物汤改善胰腺微循环防治复发性急性胰腺炎的机制研究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浙江省立同德医院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朱世峰</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9</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2019ZQ009</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独蒜兰种子非共生萌发培养和快速繁殖关键技术研究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浙江中医药大学</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周芳美</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10</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2019ZQ010</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丹参酚酸A通过下调miR-378诱导白色脂肪棕色化干预NASH的机制研究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浙江中医药大学</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杜仲燕</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11</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2019ZQ011</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绍派伤寒医家徐荣斋学术思想研究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浙江中医药大学</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谢冠群</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12</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2019ZQ012</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药材道地性对郁金配方颗粒质量的影响及生产过程前馈控制方法研究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浙江中医药大学</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严斌俊</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13</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2019ZQ013</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复方附苓颗粒靶向Drp1参与调节卵巢癌转移的机制研究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浙江中医药大学</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陶方方</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14</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2019ZQ014</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基于HPA轴-PI3K/Akt通路探讨肾气丸“补肾益髓”的作用及分子机制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浙江中医药大学</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周小杰</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15</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2019ZQ015</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白藜芦醇基于AKT/GSK-3β/Snail信号通路调控上皮间质转化抑制结肠癌侵袭转移的研究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浙江省中医院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阮善明</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16</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2019ZQ016</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基于血清IL-6、EPO表达水平探讨当归补血汤对全膝关节置换术后贫血的防治作用与分子机制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浙江省中医院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吕帅洁</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17</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2019ZQ017</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基于caprini评分探讨三七对ICU脑出血患者静脉血栓栓塞症的预防及肠道菌群的研究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浙江省中医院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祝  晨</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18</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2019ZQ018</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阳虚血瘀证膝骨关节炎的骨代谢特征及补肾活血中药的临床干预研究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浙江省中医院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王萍儿</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19</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2019ZQ019</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围绝经期干眼的中医证候分析及相关证候的临床指标研究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浙江省中医院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刘艳莉</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2019ZQ020</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姜黄素通过Nrf2-ARE信号通路抑制铁过载巨噬细胞高氧化应激水平的实验研究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浙江省中医院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朱琳超</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21</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2019ZQ021</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基于数据挖掘技术研究马红珍教授对慢性肾衰竭的证治规律</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浙江省中医院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叶晴晴</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22</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2019ZQ022</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厚朴对脓毒症急性胃肠损伤患者的保护作用研究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浙江省中医院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冯丹丹</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23</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2019ZQ023</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基于数据挖掘郭勇教授治疗肝癌的症证治规律研究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浙江省中医院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叶文怡</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24</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2019ZQ024</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龙胆苦苷调控PERK通路抑制炎症微环境下银屑病角质形成细胞增殖过度和凋亡抵抗的作用研究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浙江省中医院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方一妙</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25</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2019ZQ025</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基于数据挖掘技术的裘氏妇科名中医群治疗内异症的规律研究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浙江省中医院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杨华娣</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26</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2019ZQ026</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强骨膏方防治骨质疏松性椎体骨折再骨折的临床疗效和机制研究</w:t>
            </w:r>
          </w:p>
        </w:tc>
        <w:tc>
          <w:tcPr>
            <w:tcW w:w="2268" w:type="dxa"/>
            <w:noWrap w:val="0"/>
            <w:vAlign w:val="center"/>
          </w:tcPr>
          <w:p>
            <w:pPr>
              <w:widowControl/>
              <w:textAlignment w:val="bottom"/>
              <w:rPr>
                <w:rFonts w:hint="eastAsia" w:ascii="仿宋_GB2312" w:eastAsia="仿宋_GB2312"/>
                <w:color w:val="000000"/>
                <w:kern w:val="0"/>
                <w:sz w:val="24"/>
                <w:lang w:bidi="ar"/>
              </w:rPr>
            </w:pPr>
            <w:r>
              <w:rPr>
                <w:rFonts w:hint="eastAsia" w:ascii="仿宋_GB2312" w:eastAsia="仿宋_GB2312"/>
                <w:color w:val="000000"/>
                <w:kern w:val="0"/>
                <w:sz w:val="24"/>
                <w:lang w:bidi="ar"/>
              </w:rPr>
              <w:t>浙江中医药大学</w:t>
            </w:r>
          </w:p>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附属第二医院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梁博程</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27</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2019ZQ027</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芒硝结合红外线治疗胫腓骨骨折肢体肿胀的临床研究</w:t>
            </w:r>
          </w:p>
        </w:tc>
        <w:tc>
          <w:tcPr>
            <w:tcW w:w="2268" w:type="dxa"/>
            <w:noWrap w:val="0"/>
            <w:vAlign w:val="center"/>
          </w:tcPr>
          <w:p>
            <w:pPr>
              <w:widowControl/>
              <w:textAlignment w:val="bottom"/>
              <w:rPr>
                <w:rFonts w:hint="eastAsia" w:ascii="仿宋_GB2312" w:eastAsia="仿宋_GB2312"/>
                <w:color w:val="000000"/>
                <w:kern w:val="0"/>
                <w:sz w:val="24"/>
                <w:lang w:bidi="ar"/>
              </w:rPr>
            </w:pPr>
            <w:r>
              <w:rPr>
                <w:rFonts w:hint="eastAsia" w:ascii="仿宋_GB2312" w:eastAsia="仿宋_GB2312"/>
                <w:color w:val="000000"/>
                <w:kern w:val="0"/>
                <w:sz w:val="24"/>
                <w:lang w:bidi="ar"/>
              </w:rPr>
              <w:t>浙江中医药大学</w:t>
            </w:r>
          </w:p>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附属第二医院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宋辉晖</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28</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2019ZQ028</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元胡预处理在防治肢体缺血再灌注诱发急性肺损伤细胞自噬的作用及其机制研究</w:t>
            </w:r>
          </w:p>
        </w:tc>
        <w:tc>
          <w:tcPr>
            <w:tcW w:w="2268" w:type="dxa"/>
            <w:noWrap w:val="0"/>
            <w:vAlign w:val="center"/>
          </w:tcPr>
          <w:p>
            <w:pPr>
              <w:widowControl/>
              <w:textAlignment w:val="bottom"/>
              <w:rPr>
                <w:rFonts w:hint="eastAsia" w:ascii="仿宋_GB2312" w:eastAsia="仿宋_GB2312"/>
                <w:color w:val="000000"/>
                <w:kern w:val="0"/>
                <w:sz w:val="24"/>
                <w:lang w:bidi="ar"/>
              </w:rPr>
            </w:pPr>
            <w:r>
              <w:rPr>
                <w:rFonts w:hint="eastAsia" w:ascii="仿宋_GB2312" w:eastAsia="仿宋_GB2312"/>
                <w:color w:val="000000"/>
                <w:kern w:val="0"/>
                <w:sz w:val="24"/>
                <w:lang w:bidi="ar"/>
              </w:rPr>
              <w:t>浙江中医药大学</w:t>
            </w:r>
          </w:p>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附属第二医院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温  恒</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29</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2019ZQ029</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基于肠道菌群失调探讨加味调脂方干预非酒精性脂肪性肝病的作用机制</w:t>
            </w:r>
          </w:p>
        </w:tc>
        <w:tc>
          <w:tcPr>
            <w:tcW w:w="2268" w:type="dxa"/>
            <w:noWrap w:val="0"/>
            <w:vAlign w:val="center"/>
          </w:tcPr>
          <w:p>
            <w:pPr>
              <w:widowControl/>
              <w:textAlignment w:val="bottom"/>
              <w:rPr>
                <w:rFonts w:hint="eastAsia" w:ascii="仿宋_GB2312" w:eastAsia="仿宋_GB2312"/>
                <w:color w:val="000000"/>
                <w:kern w:val="0"/>
                <w:sz w:val="24"/>
                <w:lang w:bidi="ar"/>
              </w:rPr>
            </w:pPr>
            <w:r>
              <w:rPr>
                <w:rFonts w:hint="eastAsia" w:ascii="仿宋_GB2312" w:eastAsia="仿宋_GB2312"/>
                <w:color w:val="000000"/>
                <w:kern w:val="0"/>
                <w:sz w:val="24"/>
                <w:lang w:bidi="ar"/>
              </w:rPr>
              <w:t>浙江中医药大学</w:t>
            </w:r>
          </w:p>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附属第二医院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孙  涛</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30</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2019ZQ030</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CT阴茎海绵体造影评价静脉性勃起功能障碍患者红景Ⅰ号方联合他达拉非治疗效果</w:t>
            </w:r>
          </w:p>
        </w:tc>
        <w:tc>
          <w:tcPr>
            <w:tcW w:w="2268" w:type="dxa"/>
            <w:noWrap w:val="0"/>
            <w:vAlign w:val="center"/>
          </w:tcPr>
          <w:p>
            <w:pPr>
              <w:widowControl/>
              <w:textAlignment w:val="bottom"/>
              <w:rPr>
                <w:rFonts w:hint="eastAsia" w:ascii="仿宋_GB2312" w:eastAsia="仿宋_GB2312"/>
                <w:color w:val="000000"/>
                <w:kern w:val="0"/>
                <w:sz w:val="24"/>
                <w:lang w:bidi="ar"/>
              </w:rPr>
            </w:pPr>
            <w:r>
              <w:rPr>
                <w:rFonts w:hint="eastAsia" w:ascii="仿宋_GB2312" w:eastAsia="仿宋_GB2312"/>
                <w:color w:val="000000"/>
                <w:kern w:val="0"/>
                <w:sz w:val="24"/>
                <w:lang w:bidi="ar"/>
              </w:rPr>
              <w:t>浙江中医药大学</w:t>
            </w:r>
          </w:p>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附属第二医院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祝  萍</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31</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2019ZQ031</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LXRβ在电针抗慢性脑缺血炎性损伤中的作用研究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浙江中医药大学附属第三医院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邢小炜</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32</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2019ZQ032</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男性肾虚不育症患者精浆s-Clusterin和Fibronectin与中医证型的相关性研究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浙江中医药大学附属第三医院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方  揆</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33</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2019ZQ033</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基于数据挖掘技术总结姚新苗名中医治疗膝痹病用药规律研究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浙江中医药大学附属第三医院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李桂锦</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34</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2019ZQ034</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中药复方联合心肌干细胞治疗心肌梗死的实验研究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浙江大学医学院附属第二医院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吴  爽</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35</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2019ZQ035</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磁共振ESWAN序列评估针刺治疗帕金森病模型大鼠黑质铁含量变化的研究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杭州市红十字会医院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王安龙</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36</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2019ZQ036</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基于数据挖掘技术总结杨米雄针刀治疗颈/腰椎间盘突出症的临床经验</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杭州市红十字会医院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赖庆钟</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37</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2019ZQ037</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黄芪甲苷通过影响自噬对实验性自身免疫性神经炎的作用机制研究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杭州市第一人民医院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钱  芸</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38</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2019ZQ038</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扶正康复合剂对阿霉素诱导心衰大鼠线粒体动力学的影响及机制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杭州市第一人民医院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钟益刚</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39</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2019ZQ039</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早期中西医结合肺康复策略在老年机械通气患者中应用价值研究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杭州市老年病医院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田  福</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40</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2019ZQ040</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老年住院患者发生急性肾损伤的影响因素与中医证候调查</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淳安县中医院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余杭英</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41</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2019ZQ041</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基于中医“证候整体观”的乌药“温肾缩尿”作用机理研究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浙江医药高等专科学校</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蔡红蝶</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42</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2019ZQ042</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基于中医“扶正培本”治则的三叶青“消肿散结”作用机理研究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浙江医药高等专科学校</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季  涛</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43</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2019ZQ043</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温针灸联合八段锦调治非酒精性脂肪肝病的随机对照研究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嘉兴市中医医院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吴传莉</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44</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2019ZQ044</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黄连解毒汤加味辅助脓毒症患者早期实现肠内营养达标的临床研究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诸暨市中医医院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王益斐</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45</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2019ZQ045</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鲍严钟男科学术思想、临床经验的整理与传承研究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义乌复元私立医院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曹德根</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46</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2019ZQ046</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化湿醒鼾汤治疗痰湿内阻证OSAHS临床疗效及其对患者面部阳跷脉及申脉穴红外热成像特征影响的研究</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丽水市中医院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杨晓明</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0"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szCs w:val="22"/>
                <w:lang w:bidi="ar"/>
              </w:rPr>
              <w:t>47</w:t>
            </w:r>
          </w:p>
        </w:tc>
        <w:tc>
          <w:tcPr>
            <w:tcW w:w="1419" w:type="dxa"/>
            <w:noWrap w:val="0"/>
            <w:vAlign w:val="center"/>
          </w:tcPr>
          <w:p>
            <w:pPr>
              <w:widowControl/>
              <w:jc w:val="left"/>
              <w:textAlignment w:val="center"/>
              <w:rPr>
                <w:rFonts w:hint="eastAsia" w:ascii="仿宋_GB2312" w:eastAsia="仿宋_GB2312"/>
                <w:kern w:val="0"/>
                <w:sz w:val="24"/>
              </w:rPr>
            </w:pPr>
            <w:r>
              <w:rPr>
                <w:rFonts w:hint="eastAsia" w:ascii="仿宋_GB2312" w:eastAsia="仿宋_GB2312"/>
                <w:color w:val="000000"/>
                <w:kern w:val="0"/>
                <w:sz w:val="24"/>
                <w:szCs w:val="22"/>
                <w:lang w:bidi="ar"/>
              </w:rPr>
              <w:t>2019ZQ047</w:t>
            </w:r>
          </w:p>
        </w:tc>
        <w:tc>
          <w:tcPr>
            <w:tcW w:w="4235"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黄连总生物碱及其胃内漂浮型缓释片的制备与质量评价</w:t>
            </w:r>
          </w:p>
        </w:tc>
        <w:tc>
          <w:tcPr>
            <w:tcW w:w="2268"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丽水市中心医院</w:t>
            </w:r>
          </w:p>
        </w:tc>
        <w:tc>
          <w:tcPr>
            <w:tcW w:w="1276" w:type="dxa"/>
            <w:noWrap w:val="0"/>
            <w:vAlign w:val="center"/>
          </w:tcPr>
          <w:p>
            <w:pPr>
              <w:widowControl/>
              <w:jc w:val="center"/>
              <w:textAlignment w:val="center"/>
              <w:rPr>
                <w:rFonts w:hint="eastAsia" w:ascii="仿宋_GB2312" w:eastAsia="仿宋_GB2312"/>
                <w:kern w:val="0"/>
                <w:sz w:val="24"/>
              </w:rPr>
            </w:pPr>
            <w:r>
              <w:rPr>
                <w:rFonts w:hint="eastAsia" w:ascii="仿宋_GB2312" w:eastAsia="仿宋_GB2312"/>
                <w:color w:val="000000"/>
                <w:kern w:val="0"/>
                <w:sz w:val="24"/>
                <w:lang w:bidi="ar"/>
              </w:rPr>
              <w:t>梅紫薇</w:t>
            </w:r>
          </w:p>
        </w:tc>
        <w:tc>
          <w:tcPr>
            <w:tcW w:w="3226" w:type="dxa"/>
            <w:noWrap w:val="0"/>
            <w:vAlign w:val="center"/>
          </w:tcPr>
          <w:p>
            <w:pPr>
              <w:widowControl/>
              <w:textAlignment w:val="bottom"/>
              <w:rPr>
                <w:rFonts w:hint="eastAsia" w:ascii="仿宋_GB2312" w:eastAsia="仿宋_GB2312"/>
                <w:kern w:val="0"/>
                <w:sz w:val="24"/>
              </w:rPr>
            </w:pPr>
            <w:r>
              <w:rPr>
                <w:rFonts w:hint="eastAsia" w:ascii="仿宋_GB2312" w:eastAsia="仿宋_GB2312"/>
                <w:color w:val="000000"/>
                <w:kern w:val="0"/>
                <w:sz w:val="24"/>
                <w:lang w:bidi="ar"/>
              </w:rPr>
              <w:t>2018年9月至2021年8月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文鼎小标宋简">
    <w:altName w:val="Arial Unicode MS"/>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93114"/>
    <w:rsid w:val="550931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2018-12-24T02:26:00Z</dcterms:created>
  <dc:creator>jxg</dc:creator>
  <cp:lastModifiedBy>jxg</cp:lastModifiedBy>
  <dcterms:modified xsi:type="dcterms:W3CDTF">2018-12-24T02:27:18Z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