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spacing w:before="312" w:beforeLines="100" w:after="312" w:afterLines="100"/>
        <w:jc w:val="center"/>
        <w:rPr>
          <w:rFonts w:hint="eastAsia" w:ascii="文鼎小标宋简" w:hAnsi="仿宋_GB2312" w:eastAsia="文鼎小标宋简" w:cs="仿宋_GB2312"/>
          <w:sz w:val="44"/>
          <w:szCs w:val="44"/>
        </w:rPr>
      </w:pPr>
      <w:r>
        <w:rPr>
          <w:rFonts w:hint="eastAsia" w:ascii="文鼎小标宋简" w:hAnsi="仿宋_GB2312" w:eastAsia="文鼎小标宋简" w:cs="仿宋_GB2312"/>
          <w:sz w:val="44"/>
          <w:szCs w:val="44"/>
        </w:rPr>
        <w:t>2019年度浙江省中医药适宜技术培育项目</w:t>
      </w:r>
    </w:p>
    <w:tbl>
      <w:tblPr>
        <w:tblStyle w:val="3"/>
        <w:tblpPr w:leftFromText="180" w:rightFromText="180" w:vertAnchor="text" w:horzAnchor="page" w:tblpXSpec="center" w:tblpY="307"/>
        <w:tblOverlap w:val="never"/>
        <w:tblW w:w="13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365"/>
        <w:gridCol w:w="4485"/>
        <w:gridCol w:w="2235"/>
        <w:gridCol w:w="1290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宋体" w:eastAsia="黑体" w:cs="Arial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bCs/>
                <w:sz w:val="28"/>
                <w:szCs w:val="28"/>
              </w:rPr>
              <w:t>序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宋体" w:eastAsia="黑体" w:cs="Arial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bCs/>
                <w:sz w:val="28"/>
                <w:szCs w:val="28"/>
              </w:rPr>
              <w:t>号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宋体" w:eastAsia="黑体" w:cs="Arial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bCs/>
                <w:sz w:val="28"/>
                <w:szCs w:val="28"/>
              </w:rPr>
              <w:t>项目编号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宋体" w:eastAsia="黑体" w:cs="Arial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bCs/>
                <w:sz w:val="28"/>
                <w:szCs w:val="28"/>
              </w:rPr>
              <w:t>项目名称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宋体" w:eastAsia="黑体" w:cs="Arial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bCs/>
                <w:sz w:val="28"/>
                <w:szCs w:val="28"/>
              </w:rPr>
              <w:t>承担单位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宋体" w:eastAsia="黑体" w:cs="Arial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bCs/>
                <w:sz w:val="28"/>
                <w:szCs w:val="28"/>
              </w:rPr>
              <w:t>项目</w:t>
            </w:r>
          </w:p>
          <w:p>
            <w:pPr>
              <w:widowControl/>
              <w:adjustRightInd w:val="0"/>
              <w:snapToGrid w:val="0"/>
              <w:spacing w:line="400" w:lineRule="exact"/>
              <w:ind w:left="-107" w:leftChars="-51" w:right="-78" w:rightChars="-37"/>
              <w:jc w:val="center"/>
              <w:rPr>
                <w:rFonts w:hint="eastAsia" w:ascii="黑体" w:hAnsi="宋体" w:eastAsia="黑体" w:cs="Arial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bCs/>
                <w:sz w:val="28"/>
                <w:szCs w:val="28"/>
              </w:rPr>
              <w:t>负责人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宋体" w:eastAsia="黑体" w:cs="Arial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bCs/>
                <w:sz w:val="28"/>
                <w:szCs w:val="28"/>
              </w:rPr>
              <w:t>研究起止时间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2"/>
                <w:lang w:bidi="ar"/>
              </w:rPr>
              <w:t>1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2"/>
                <w:lang w:bidi="ar"/>
              </w:rPr>
              <w:t>2019ZT001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中药退热散湿冷敷配合手法推拿治疗小儿外感发热技术研究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浙江省立同德医院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桑  杲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2018年9月至2021年8月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2"/>
                <w:lang w:bidi="ar"/>
              </w:rPr>
              <w:t>2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2"/>
                <w:lang w:bidi="ar"/>
              </w:rPr>
              <w:t>2019ZT002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扬刺结合一指禅推拿治疗自媒体环境下头夹肌损伤技术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杭州市中医院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雷言坤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2018年9月至2021年8月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2"/>
                <w:lang w:bidi="ar"/>
              </w:rPr>
              <w:t>3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2"/>
                <w:lang w:bidi="ar"/>
              </w:rPr>
              <w:t>2019ZT003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循经推拿结合神经发育疗法治疗脑卒中偏瘫的技术研究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衢州市人民医院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许  健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2018年9月至2021年8月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2"/>
                <w:lang w:bidi="ar"/>
              </w:rPr>
              <w:t>4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2"/>
                <w:lang w:bidi="ar"/>
              </w:rPr>
              <w:t>2019ZT004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微针刀松解枕下肌群治疗基底型偏头痛技术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诸暨市中医医院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傅云其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2018年9月至2020年12月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文鼎小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F0644"/>
    <w:rsid w:val="165F06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2018-12-24T02:27:00Z</dcterms:created>
  <dc:creator>jxg</dc:creator>
  <cp:lastModifiedBy>jxg</cp:lastModifiedBy>
  <dcterms:modified xsi:type="dcterms:W3CDTF">2018-12-24T02:27:46Z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